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color w:val="0F766E"/>
          <w:sz w:val="20"/>
          <w:szCs w:val="20"/>
        </w:rPr>
        <w:t xml:space="preserve">CRA KIT</w:t>
      </w:r>
    </w:p>
    <w:p>
      <w:pPr>
        <w:pStyle w:val="Title"/>
        <w:spacing w:after="100"/>
        <w:jc w:val="center"/>
      </w:pPr>
      <w:r>
        <w:rPr>
          <w:b/>
          <w:bCs/>
          <w:sz w:val="40"/>
          <w:szCs w:val="40"/>
        </w:rPr>
        <w:t xml:space="preserve">Dossier de conformité — exemple réel</w:t>
      </w:r>
    </w:p>
    <w:p>
      <w:pPr>
        <w:spacing w:after="120"/>
      </w:pPr>
      <w:r>
        <w:rPr>
          <w:i/>
          <w:iCs/>
          <w:color w:val="78716C"/>
          <w:sz w:val="20"/>
          <w:szCs w:val="20"/>
        </w:rPr>
        <w:t xml:space="preserve">Produit évalué : CRA Kit lui-même (cra-kit.com), à titre d'exemple concret et honnête.</w:t>
      </w:r>
    </w:p>
    <w:p>
      <w:pPr>
        <w:pStyle w:val="Heading1"/>
        <w:spacing w:after="150" w:before="300"/>
      </w:pPr>
      <w:r>
        <w:rPr>
          <w:b/>
          <w:bCs/>
          <w:color w:val="0F766E"/>
          <w:sz w:val="32"/>
          <w:szCs w:val="32"/>
        </w:rPr>
        <w:t xml:space="preserve">1. Questions/réponses supplémentaires</w:t>
      </w:r>
    </w:p>
    <w:p>
      <w:pPr>
        <w:spacing w:after="120"/>
      </w:pPr>
      <w:r>
        <w:rPr>
          <w:i/>
          <w:iCs/>
          <w:color w:val="78716C"/>
          <w:sz w:val="20"/>
          <w:szCs w:val="20"/>
        </w:rPr>
        <w:t xml:space="preserve">Recueillies après le clic "Je suis intéressé", en complément des 20 questions du diagnostic — c'est ce contexte qui permet des recommandations personnalisées plutôt qu'un conseil générique.</w:t>
      </w:r>
    </w:p>
    <w:p>
      <w:pPr>
        <w:spacing w:after="20"/>
      </w:pPr>
      <w:r>
        <w:rPr>
          <w:b/>
          <w:bCs/>
          <w:sz w:val="22"/>
          <w:szCs w:val="22"/>
        </w:rPr>
        <w:t xml:space="preserve">Hébergeur</w:t>
      </w:r>
    </w:p>
    <w:p>
      <w:pPr>
        <w:spacing w:after="140"/>
      </w:pPr>
      <w:r>
        <w:rPr>
          <w:color w:val="0F766E"/>
          <w:sz w:val="22"/>
          <w:szCs w:val="22"/>
        </w:rPr>
        <w:t xml:space="preserve">Vercel (plan Hobby)</w:t>
      </w:r>
    </w:p>
    <w:p>
      <w:pPr>
        <w:spacing w:after="20"/>
      </w:pPr>
      <w:r>
        <w:rPr>
          <w:b/>
          <w:bCs/>
          <w:sz w:val="22"/>
          <w:szCs w:val="22"/>
        </w:rPr>
        <w:t xml:space="preserve">Langage / framework principal</w:t>
      </w:r>
    </w:p>
    <w:p>
      <w:pPr>
        <w:spacing w:after="140"/>
      </w:pPr>
      <w:r>
        <w:rPr>
          <w:color w:val="0F766E"/>
          <w:sz w:val="22"/>
          <w:szCs w:val="22"/>
        </w:rPr>
        <w:t xml:space="preserve">Next.js (React), Node.js</w:t>
      </w:r>
    </w:p>
    <w:p>
      <w:pPr>
        <w:spacing w:after="20"/>
      </w:pPr>
      <w:r>
        <w:rPr>
          <w:b/>
          <w:bCs/>
          <w:sz w:val="22"/>
          <w:szCs w:val="22"/>
        </w:rPr>
        <w:t xml:space="preserve">Pipeline CI/CD existant</w:t>
      </w:r>
    </w:p>
    <w:p>
      <w:pPr>
        <w:spacing w:after="140"/>
      </w:pPr>
      <w:r>
        <w:rPr>
          <w:color w:val="0F766E"/>
          <w:sz w:val="22"/>
          <w:szCs w:val="22"/>
        </w:rPr>
        <w:t xml:space="preserve">Aucun pipeline custom — déploiement automatique natif de Vercel sur chaque push GitHub</w:t>
      </w:r>
    </w:p>
    <w:p>
      <w:pPr>
        <w:spacing w:after="20"/>
      </w:pPr>
      <w:r>
        <w:rPr>
          <w:b/>
          <w:bCs/>
          <w:sz w:val="22"/>
          <w:szCs w:val="22"/>
        </w:rPr>
        <w:t xml:space="preserve">Base de données</w:t>
      </w:r>
    </w:p>
    <w:p>
      <w:pPr>
        <w:spacing w:after="140"/>
      </w:pPr>
      <w:r>
        <w:rPr>
          <w:color w:val="0F766E"/>
          <w:sz w:val="22"/>
          <w:szCs w:val="22"/>
        </w:rPr>
        <w:t xml:space="preserve">Supabase (PostgreSQL)</w:t>
      </w:r>
    </w:p>
    <w:p>
      <w:pPr>
        <w:spacing w:after="20"/>
      </w:pPr>
      <w:r>
        <w:rPr>
          <w:b/>
          <w:bCs/>
          <w:sz w:val="22"/>
          <w:szCs w:val="22"/>
        </w:rPr>
        <w:t xml:space="preserve">Taille de l'équipe technique</w:t>
      </w:r>
    </w:p>
    <w:p>
      <w:pPr>
        <w:spacing w:after="140"/>
      </w:pPr>
      <w:r>
        <w:rPr>
          <w:color w:val="0F766E"/>
          <w:sz w:val="22"/>
          <w:szCs w:val="22"/>
        </w:rPr>
        <w:t xml:space="preserve">Solo (1 personne)</w:t>
      </w:r>
    </w:p>
    <w:p>
      <w:pPr>
        <w:pStyle w:val="Heading1"/>
        <w:spacing w:after="150" w:before="300"/>
      </w:pPr>
      <w:r>
        <w:rPr>
          <w:b/>
          <w:bCs/>
          <w:color w:val="0F766E"/>
          <w:sz w:val="32"/>
          <w:szCs w:val="32"/>
        </w:rPr>
        <w:t xml:space="preserve">2. Synthèse et priorités</w:t>
      </w:r>
    </w:p>
    <w:p>
      <w:pPr>
        <w:spacing w:after="120"/>
      </w:pPr>
      <w:r>
        <w:rPr>
          <w:sz w:val="22"/>
          <w:szCs w:val="22"/>
        </w:rPr>
        <w:t xml:space="preserve">Compte tenu du contexte ci-dessus (Vercel + Next.js + Supabase, équipe solo, pas de pipeline CI dédié), plusieurs points se règlent avec les outils déjà en place plutôt que par de nouveaux investissements. Trois priorités rapides : activer Dependabot sur GitHub (a) — deux clics, aucune config ; publier la politique CVD (v5) — texte déjà rédigé en section 5 ; documenter la protection DDoS déjà fournie par Vercel (h) — aucun développement.</w:t>
      </w:r>
    </w:p>
    <w:p>
      <w:pPr>
        <w:spacing w:after="120"/>
      </w:pPr>
      <w:r>
        <w:rPr>
          <w:sz w:val="22"/>
          <w:szCs w:val="22"/>
        </w:rPr>
        <w:t xml:space="preserve">Ensuite : la suppression de données en self-service (m) est rapide à construire avec Supabase et Resend déjà intégrés (moins d'une heure estimée) ; le SBOM (v1) et le changelog (v4) sont mécaniques une fois la commande connue.</w:t>
      </w:r>
    </w:p>
    <w:p>
      <w:pPr>
        <w:spacing w:after="120"/>
      </w:pPr>
      <w:r>
        <w:rPr>
          <w:sz w:val="22"/>
          <w:szCs w:val="22"/>
        </w:rPr>
        <w:t xml:space="preserve">Les tests de sécurité réguliers (v3) et l'audit des points d'entrée (j) demandent surtout de fixer une routine — réaliste à 30 minutes par trimestre pour une équipe solo sur cette stack, pas un chantier lourd.</w:t>
      </w:r>
    </w:p>
    <w:p>
      <w:pPr>
        <w:pStyle w:val="Heading2"/>
        <w:spacing w:after="100" w:before="200"/>
      </w:pPr>
      <w:r>
        <w:rPr>
          <w:b/>
          <w:bCs/>
          <w:sz w:val="24"/>
          <w:szCs w:val="24"/>
        </w:rPr>
        <w:t xml:space="preserve">Prochaines étapes</w:t>
      </w:r>
    </w:p>
    <w:p>
      <w:pPr>
        <w:spacing w:after="100"/>
      </w:pPr>
      <w:r>
        <w:rPr>
          <w:sz w:val="22"/>
          <w:szCs w:val="22"/>
        </w:rPr>
        <w:t xml:space="preserve">• Traiter les 3 priorités rapides (a, h, v5) avant tout — gain immédiat, effort minimal avec les outils déjà en place.</w:t>
      </w:r>
    </w:p>
    <w:p>
      <w:pPr>
        <w:spacing w:after="100"/>
      </w:pPr>
      <w:r>
        <w:rPr>
          <w:sz w:val="22"/>
          <w:szCs w:val="22"/>
        </w:rPr>
        <w:t xml:space="preserve">• Traiter (m), (v1), (v4), puis (v3), (j).</w:t>
      </w:r>
    </w:p>
    <w:p>
      <w:pPr>
        <w:spacing w:after="100"/>
      </w:pPr>
      <w:r>
        <w:rPr>
          <w:sz w:val="22"/>
          <w:szCs w:val="22"/>
        </w:rPr>
        <w:t xml:space="preserve">• Une fois les 8 points résolus ou justifiés : signer la déclaration UE de conformité (section 4).</w:t>
      </w:r>
    </w:p>
    <w:p>
      <w:pPr>
        <w:pStyle w:val="Heading1"/>
        <w:spacing w:after="150" w:before="300"/>
      </w:pPr>
      <w:r>
        <w:rPr>
          <w:b/>
          <w:bCs/>
          <w:color w:val="0F766E"/>
          <w:sz w:val="32"/>
          <w:szCs w:val="32"/>
        </w:rPr>
        <w:t xml:space="preserve">3. Détail par exigence</w:t>
      </w:r>
    </w:p>
    <w:p>
      <w:pPr>
        <w:spacing w:after="120"/>
      </w:pPr>
      <w:r>
        <w:rPr>
          <w:i/>
          <w:iCs/>
          <w:color w:val="78716C"/>
          <w:sz w:val="20"/>
          <w:szCs w:val="20"/>
        </w:rPr>
        <w:t xml:space="preserve">Conformément à l'article 13§2-3 et à l'Annexe I du règlement (UE) 2024/2847.</w:t>
      </w:r>
    </w:p>
    <w:p>
      <w:pPr>
        <w:pStyle w:val="Heading2"/>
        <w:spacing w:after="100" w:before="200"/>
      </w:pPr>
      <w:r>
        <w:rPr>
          <w:b/>
          <w:bCs/>
          <w:sz w:val="24"/>
          <w:szCs w:val="24"/>
        </w:rPr>
        <w:t xml:space="preserve">Points à traiter (8)</w:t>
      </w:r>
    </w:p>
    <w:p>
      <w:pPr>
        <w:pBdr>
          <w:left w:val="single" w:color="D97706" w:sz="24"/>
        </w:pBdr>
        <w:spacing w:after="40"/>
        <w:ind w:left="200"/>
      </w:pPr>
      <w:r>
        <w:rPr>
          <w:b/>
          <w:bCs/>
          <w:color w:val="0F766E"/>
          <w:sz w:val="20"/>
          <w:szCs w:val="20"/>
        </w:rPr>
        <w:t xml:space="preserve">(a) </w:t>
      </w:r>
      <w:r>
        <w:rPr>
          <w:b/>
          <w:bCs/>
          <w:sz w:val="20"/>
          <w:szCs w:val="20"/>
        </w:rPr>
        <w:t xml:space="preserve">Vulnérabilités connues — </w:t>
      </w:r>
      <w:r>
        <w:rPr>
          <w:i/>
          <w:iCs/>
          <w:sz w:val="20"/>
          <w:szCs w:val="20"/>
        </w:rPr>
        <w:t xml:space="preserve">Non couvert</w:t>
      </w:r>
    </w:p>
    <w:p>
      <w:pPr>
        <w:pBdr>
          <w:left w:val="single" w:color="D97706" w:sz="24"/>
        </w:pBdr>
        <w:spacing w:after="40"/>
        <w:ind w:left="200"/>
      </w:pPr>
      <w:r>
        <w:rPr>
          <w:sz w:val="20"/>
          <w:szCs w:val="20"/>
        </w:rPr>
        <w:t xml:space="preserve">Aucun scan automatisé des dépendances en place.</w:t>
      </w:r>
    </w:p>
    <w:p>
      <w:pPr>
        <w:pBdr>
          <w:left w:val="single" w:color="D97706" w:sz="24"/>
        </w:pBdr>
        <w:spacing w:after="40"/>
        <w:ind w:left="200"/>
      </w:pPr>
      <w:r>
        <w:rPr>
          <w:b/>
          <w:bCs/>
          <w:color w:val="0F766E"/>
          <w:sz w:val="20"/>
          <w:szCs w:val="20"/>
        </w:rPr>
        <w:t xml:space="preserve">→ Activer Dependabot directement sur le dépôt GitHub (Settings → Security → Dependabot alerts + security updates) — gratuit, ne nécessite pas de pipeline CI dédié, compatible avec le déploiement automatique Vercel déjà en place. En complément : ajouter npm audit --audit-level=high comme script prebuild dans package.json, exécuté automatiquement à chaque build Vercel.</w:t>
      </w:r>
    </w:p>
    <w:p>
      <w:pPr>
        <w:spacing w:after="120"/>
      </w:pPr>
    </w:p>
    <w:p>
      <w:pPr>
        <w:pBdr>
          <w:left w:val="single" w:color="D97706" w:sz="24"/>
        </w:pBdr>
        <w:spacing w:after="40"/>
        <w:ind w:left="200"/>
      </w:pPr>
      <w:r>
        <w:rPr>
          <w:b/>
          <w:bCs/>
          <w:color w:val="0F766E"/>
          <w:sz w:val="20"/>
          <w:szCs w:val="20"/>
        </w:rPr>
        <w:t xml:space="preserve">(h) </w:t>
      </w:r>
      <w:r>
        <w:rPr>
          <w:b/>
          <w:bCs/>
          <w:sz w:val="20"/>
          <w:szCs w:val="20"/>
        </w:rPr>
        <w:t xml:space="preserve">Résilience DDoS — </w:t>
      </w:r>
      <w:r>
        <w:rPr>
          <w:i/>
          <w:iCs/>
          <w:sz w:val="20"/>
          <w:szCs w:val="20"/>
        </w:rPr>
        <w:t xml:space="preserve">Non couvert</w:t>
      </w:r>
    </w:p>
    <w:p>
      <w:pPr>
        <w:pBdr>
          <w:left w:val="single" w:color="D97706" w:sz="24"/>
        </w:pBdr>
        <w:spacing w:after="40"/>
        <w:ind w:left="200"/>
      </w:pPr>
      <w:r>
        <w:rPr>
          <w:sz w:val="20"/>
          <w:szCs w:val="20"/>
        </w:rPr>
        <w:t xml:space="preserve">Protection limitée au défaut Vercel, non documentée spécifiquement.</w:t>
      </w:r>
    </w:p>
    <w:p>
      <w:pPr>
        <w:pBdr>
          <w:left w:val="single" w:color="D97706" w:sz="24"/>
        </w:pBdr>
        <w:spacing w:after="40"/>
        <w:ind w:left="200"/>
      </w:pPr>
      <w:r>
        <w:rPr>
          <w:b/>
          <w:bCs/>
          <w:color w:val="0F766E"/>
          <w:sz w:val="20"/>
          <w:szCs w:val="20"/>
        </w:rPr>
        <w:t xml:space="preserve">→ Vercel Edge Network inclut une protection DDoS de base dès le plan Hobby — documenter ce point en citant vercel.com/docs/security dans le dossier technique. Le passage prévu au plan Pro (à l'activation de Stripe) apporte des protections additionnelles. Pour une équipe solo, aucune action supplémentaire nécessaire à ce stade.</w:t>
      </w:r>
    </w:p>
    <w:p>
      <w:pPr>
        <w:spacing w:after="120"/>
      </w:pPr>
    </w:p>
    <w:p>
      <w:pPr>
        <w:pBdr>
          <w:left w:val="single" w:color="D97706" w:sz="24"/>
        </w:pBdr>
        <w:spacing w:after="40"/>
        <w:ind w:left="200"/>
      </w:pPr>
      <w:r>
        <w:rPr>
          <w:b/>
          <w:bCs/>
          <w:color w:val="0F766E"/>
          <w:sz w:val="20"/>
          <w:szCs w:val="20"/>
        </w:rPr>
        <w:t xml:space="preserve">(j) </w:t>
      </w:r>
      <w:r>
        <w:rPr>
          <w:b/>
          <w:bCs/>
          <w:sz w:val="20"/>
          <w:szCs w:val="20"/>
        </w:rPr>
        <w:t xml:space="preserve">Points d'entrée inutiles — </w:t>
      </w:r>
      <w:r>
        <w:rPr>
          <w:i/>
          <w:iCs/>
          <w:sz w:val="20"/>
          <w:szCs w:val="20"/>
        </w:rPr>
        <w:t xml:space="preserve">Pas sûr</w:t>
      </w:r>
    </w:p>
    <w:p>
      <w:pPr>
        <w:pBdr>
          <w:left w:val="single" w:color="D97706" w:sz="24"/>
        </w:pBdr>
        <w:spacing w:after="40"/>
        <w:ind w:left="200"/>
      </w:pPr>
      <w:r>
        <w:rPr>
          <w:sz w:val="20"/>
          <w:szCs w:val="20"/>
        </w:rPr>
        <w:t xml:space="preserve">Aucun audit formel des routes/endpoints n'a été fait.</w:t>
      </w:r>
    </w:p>
    <w:p>
      <w:pPr>
        <w:pBdr>
          <w:left w:val="single" w:color="D97706" w:sz="24"/>
        </w:pBdr>
        <w:spacing w:after="40"/>
        <w:ind w:left="200"/>
      </w:pPr>
      <w:r>
        <w:rPr>
          <w:b/>
          <w:bCs/>
          <w:color w:val="0F766E"/>
          <w:sz w:val="20"/>
          <w:szCs w:val="20"/>
        </w:rPr>
        <w:t xml:space="preserve">→ Avec Next.js App Router, lister les fichiers sous app/api/ (2 actuellement : send-result, ping-supabase) et vérifier qu'aucune route de test/développement n'a été oubliée en production — un grep -r "app/api" dans le dépôt suffit pour un solo dev. Réduit à quelques minutes vu la taille du projet.</w:t>
      </w:r>
    </w:p>
    <w:p>
      <w:pPr>
        <w:spacing w:after="120"/>
      </w:pPr>
    </w:p>
    <w:p>
      <w:pPr>
        <w:pBdr>
          <w:left w:val="single" w:color="D97706" w:sz="24"/>
        </w:pBdr>
        <w:spacing w:after="40"/>
        <w:ind w:left="200"/>
      </w:pPr>
      <w:r>
        <w:rPr>
          <w:b/>
          <w:bCs/>
          <w:color w:val="0F766E"/>
          <w:sz w:val="20"/>
          <w:szCs w:val="20"/>
        </w:rPr>
        <w:t xml:space="preserve">(m) </w:t>
      </w:r>
      <w:r>
        <w:rPr>
          <w:b/>
          <w:bCs/>
          <w:sz w:val="20"/>
          <w:szCs w:val="20"/>
        </w:rPr>
        <w:t xml:space="preserve">Suppression des données — </w:t>
      </w:r>
      <w:r>
        <w:rPr>
          <w:i/>
          <w:iCs/>
          <w:sz w:val="20"/>
          <w:szCs w:val="20"/>
        </w:rPr>
        <w:t xml:space="preserve">Non couvert</w:t>
      </w:r>
    </w:p>
    <w:p>
      <w:pPr>
        <w:pBdr>
          <w:left w:val="single" w:color="D97706" w:sz="24"/>
        </w:pBdr>
        <w:spacing w:after="40"/>
        <w:ind w:left="200"/>
      </w:pPr>
      <w:r>
        <w:rPr>
          <w:sz w:val="20"/>
          <w:szCs w:val="20"/>
        </w:rPr>
        <w:t xml:space="preserve">Pas de self-service.</w:t>
      </w:r>
    </w:p>
    <w:p>
      <w:pPr>
        <w:pBdr>
          <w:left w:val="single" w:color="D97706" w:sz="24"/>
        </w:pBdr>
        <w:spacing w:after="40"/>
        <w:ind w:left="200"/>
      </w:pPr>
      <w:r>
        <w:rPr>
          <w:b/>
          <w:bCs/>
          <w:color w:val="0F766E"/>
          <w:sz w:val="20"/>
          <w:szCs w:val="20"/>
        </w:rPr>
        <w:t xml:space="preserve">→ Avec Supabase déjà en place, une route app/api/delete-my-data/route.js utilisant supabaseAdmin.from('submissions').delete().eq('email', email), avec confirmation par email via Resend (déjà intégré) : moins d'une heure de développement, aucune nouvelle dépendance.</w:t>
      </w:r>
    </w:p>
    <w:p>
      <w:pPr>
        <w:spacing w:after="120"/>
      </w:pPr>
    </w:p>
    <w:p>
      <w:pPr>
        <w:pBdr>
          <w:left w:val="single" w:color="D97706" w:sz="24"/>
        </w:pBdr>
        <w:spacing w:after="40"/>
        <w:ind w:left="200"/>
      </w:pPr>
      <w:r>
        <w:rPr>
          <w:b/>
          <w:bCs/>
          <w:color w:val="0F766E"/>
          <w:sz w:val="20"/>
          <w:szCs w:val="20"/>
        </w:rPr>
        <w:t xml:space="preserve">(v1) </w:t>
      </w:r>
      <w:r>
        <w:rPr>
          <w:b/>
          <w:bCs/>
          <w:sz w:val="20"/>
          <w:szCs w:val="20"/>
        </w:rPr>
        <w:t xml:space="preserve">SBOM — </w:t>
      </w:r>
      <w:r>
        <w:rPr>
          <w:i/>
          <w:iCs/>
          <w:sz w:val="20"/>
          <w:szCs w:val="20"/>
        </w:rPr>
        <w:t xml:space="preserve">Non couvert</w:t>
      </w:r>
    </w:p>
    <w:p>
      <w:pPr>
        <w:pBdr>
          <w:left w:val="single" w:color="D97706" w:sz="24"/>
        </w:pBdr>
        <w:spacing w:after="40"/>
        <w:ind w:left="200"/>
      </w:pPr>
      <w:r>
        <w:rPr>
          <w:sz w:val="20"/>
          <w:szCs w:val="20"/>
        </w:rPr>
        <w:t xml:space="preserve">Pas de nomenclature logicielle formalisée.</w:t>
      </w:r>
    </w:p>
    <w:p>
      <w:pPr>
        <w:pBdr>
          <w:left w:val="single" w:color="D97706" w:sz="24"/>
        </w:pBdr>
        <w:spacing w:after="40"/>
        <w:ind w:left="200"/>
      </w:pPr>
      <w:r>
        <w:rPr>
          <w:b/>
          <w:bCs/>
          <w:color w:val="0F766E"/>
          <w:sz w:val="20"/>
          <w:szCs w:val="20"/>
        </w:rPr>
        <w:t xml:space="preserve">→ npm sbom --sbom-format=cyclonedx &gt; sbom.json depuis le dossier du projet. Committer le fichier sous /docs/sbom.json à chaque déploiement majeur — pas besoin d'automatiser en solo, l'historique Git suffit à tracer les évolutions.</w:t>
      </w:r>
    </w:p>
    <w:p>
      <w:pPr>
        <w:spacing w:after="120"/>
      </w:pPr>
    </w:p>
    <w:p>
      <w:pPr>
        <w:pBdr>
          <w:left w:val="single" w:color="D97706" w:sz="24"/>
        </w:pBdr>
        <w:spacing w:after="40"/>
        <w:ind w:left="200"/>
      </w:pPr>
      <w:r>
        <w:rPr>
          <w:b/>
          <w:bCs/>
          <w:color w:val="0F766E"/>
          <w:sz w:val="20"/>
          <w:szCs w:val="20"/>
        </w:rPr>
        <w:t xml:space="preserve">(v3) </w:t>
      </w:r>
      <w:r>
        <w:rPr>
          <w:b/>
          <w:bCs/>
          <w:sz w:val="20"/>
          <w:szCs w:val="20"/>
        </w:rPr>
        <w:t xml:space="preserve">Tests de sécurité réguliers — </w:t>
      </w:r>
      <w:r>
        <w:rPr>
          <w:i/>
          <w:iCs/>
          <w:sz w:val="20"/>
          <w:szCs w:val="20"/>
        </w:rPr>
        <w:t xml:space="preserve">Non couvert</w:t>
      </w:r>
    </w:p>
    <w:p>
      <w:pPr>
        <w:pBdr>
          <w:left w:val="single" w:color="D97706" w:sz="24"/>
        </w:pBdr>
        <w:spacing w:after="40"/>
        <w:ind w:left="200"/>
      </w:pPr>
      <w:r>
        <w:rPr>
          <w:sz w:val="20"/>
          <w:szCs w:val="20"/>
        </w:rPr>
        <w:t xml:space="preserve">Aucun test de sécurité récurrent formalisé à ce jour.</w:t>
      </w:r>
    </w:p>
    <w:p>
      <w:pPr>
        <w:pBdr>
          <w:left w:val="single" w:color="D97706" w:sz="24"/>
        </w:pBdr>
        <w:spacing w:after="40"/>
        <w:ind w:left="200"/>
      </w:pPr>
      <w:r>
        <w:rPr>
          <w:b/>
          <w:bCs/>
          <w:color w:val="0F766E"/>
          <w:sz w:val="20"/>
          <w:szCs w:val="20"/>
        </w:rPr>
        <w:t xml:space="preserve">→ Routine trimestriel réaliste pour une stack Vercel/Supabase solo : npm audit (couvert par Dependabot ci-dessus), revue manuelle des policies RLS Supabase (Table Editor → Policies), et test de la clé anon depuis un client externe (Postman) pour confirmer l'absence de lecture possible. Environ 30 minutes, aucun outil payant nécessaire.</w:t>
      </w:r>
    </w:p>
    <w:p>
      <w:pPr>
        <w:spacing w:after="120"/>
      </w:pPr>
    </w:p>
    <w:p>
      <w:pPr>
        <w:pBdr>
          <w:left w:val="single" w:color="D97706" w:sz="24"/>
        </w:pBdr>
        <w:spacing w:after="40"/>
        <w:ind w:left="200"/>
      </w:pPr>
      <w:r>
        <w:rPr>
          <w:b/>
          <w:bCs/>
          <w:color w:val="0F766E"/>
          <w:sz w:val="20"/>
          <w:szCs w:val="20"/>
        </w:rPr>
        <w:t xml:space="preserve">(v4) </w:t>
      </w:r>
      <w:r>
        <w:rPr>
          <w:b/>
          <w:bCs/>
          <w:sz w:val="20"/>
          <w:szCs w:val="20"/>
        </w:rPr>
        <w:t xml:space="preserve">Gratuité et communication des correctifs — </w:t>
      </w:r>
      <w:r>
        <w:rPr>
          <w:i/>
          <w:iCs/>
          <w:sz w:val="20"/>
          <w:szCs w:val="20"/>
        </w:rPr>
        <w:t xml:space="preserve">Non couvert</w:t>
      </w:r>
    </w:p>
    <w:p>
      <w:pPr>
        <w:pBdr>
          <w:left w:val="single" w:color="D97706" w:sz="24"/>
        </w:pBdr>
        <w:spacing w:after="40"/>
        <w:ind w:left="200"/>
      </w:pPr>
      <w:r>
        <w:rPr>
          <w:sz w:val="20"/>
          <w:szCs w:val="20"/>
        </w:rPr>
        <w:t xml:space="preserve">Produit gratuit, mais pas de changelog ni d'avis de sécurité publié.</w:t>
      </w:r>
    </w:p>
    <w:p>
      <w:pPr>
        <w:pBdr>
          <w:left w:val="single" w:color="D97706" w:sz="24"/>
        </w:pBdr>
        <w:spacing w:after="40"/>
        <w:ind w:left="200"/>
      </w:pPr>
      <w:r>
        <w:rPr>
          <w:b/>
          <w:bCs/>
          <w:color w:val="0F766E"/>
          <w:sz w:val="20"/>
          <w:szCs w:val="20"/>
        </w:rPr>
        <w:t xml:space="preserve">→ Une page /changelog en Markdown, même structure que /guide déjà en place. Pour un SaaS en déploiement continu, ne documenter que les correctifs qui changent réellement quelque chose pour l'utilisateur — la majorité restent invisibles, ce qui est normal (cf. section CRA Kit sur la question v4).</w:t>
      </w:r>
    </w:p>
    <w:p>
      <w:pPr>
        <w:spacing w:after="120"/>
      </w:pPr>
    </w:p>
    <w:p>
      <w:pPr>
        <w:pBdr>
          <w:left w:val="single" w:color="D97706" w:sz="24"/>
        </w:pBdr>
        <w:spacing w:after="40"/>
        <w:ind w:left="200"/>
      </w:pPr>
      <w:r>
        <w:rPr>
          <w:b/>
          <w:bCs/>
          <w:color w:val="0F766E"/>
          <w:sz w:val="20"/>
          <w:szCs w:val="20"/>
        </w:rPr>
        <w:t xml:space="preserve">(v5) </w:t>
      </w:r>
      <w:r>
        <w:rPr>
          <w:b/>
          <w:bCs/>
          <w:sz w:val="20"/>
          <w:szCs w:val="20"/>
        </w:rPr>
        <w:t xml:space="preserve">Politique CVD — </w:t>
      </w:r>
      <w:r>
        <w:rPr>
          <w:i/>
          <w:iCs/>
          <w:sz w:val="20"/>
          <w:szCs w:val="20"/>
        </w:rPr>
        <w:t xml:space="preserve">Non couvert</w:t>
      </w:r>
    </w:p>
    <w:p>
      <w:pPr>
        <w:pBdr>
          <w:left w:val="single" w:color="D97706" w:sz="24"/>
        </w:pBdr>
        <w:spacing w:after="40"/>
        <w:ind w:left="200"/>
      </w:pPr>
      <w:r>
        <w:rPr>
          <w:sz w:val="20"/>
          <w:szCs w:val="20"/>
        </w:rPr>
        <w:t xml:space="preserve">Aucune politique de divulgation coordonnée publiée.</w:t>
      </w:r>
    </w:p>
    <w:p>
      <w:pPr>
        <w:pBdr>
          <w:left w:val="single" w:color="D97706" w:sz="24"/>
        </w:pBdr>
        <w:spacing w:after="40"/>
        <w:ind w:left="200"/>
      </w:pPr>
      <w:r>
        <w:rPr>
          <w:b/>
          <w:bCs/>
          <w:color w:val="0F766E"/>
          <w:sz w:val="20"/>
          <w:szCs w:val="20"/>
        </w:rPr>
        <w:t xml:space="preserve">→ Créer app/securite/page.js (même structure que /mentions-legales), publier le texte de la section 5 ci-dessous, et ajouter un lien depuis le Footer partagé (components/Footer.jsx) pour qu'il apparaisse sur tout le site. Environ 15 minutes avec Claude Code.</w:t>
      </w:r>
    </w:p>
    <w:p>
      <w:pPr>
        <w:spacing w:after="120"/>
      </w:pPr>
    </w:p>
    <w:p>
      <w:pPr>
        <w:pStyle w:val="Heading2"/>
        <w:spacing w:after="100" w:before="200"/>
      </w:pPr>
      <w:r>
        <w:rPr>
          <w:b/>
          <w:bCs/>
          <w:sz w:val="24"/>
          <w:szCs w:val="24"/>
        </w:rPr>
        <w:t xml:space="preserve">Points déjà couverts (12)</w:t>
      </w:r>
    </w:p>
    <w:p>
      <w:pPr>
        <w:pBdr>
          <w:left w:val="single" w:color="0F766E" w:sz="24"/>
        </w:pBdr>
        <w:spacing w:after="40"/>
        <w:ind w:left="200"/>
      </w:pPr>
      <w:r>
        <w:rPr>
          <w:b/>
          <w:bCs/>
          <w:color w:val="0F766E"/>
          <w:sz w:val="20"/>
          <w:szCs w:val="20"/>
        </w:rPr>
        <w:t xml:space="preserve">(b) </w:t>
      </w:r>
      <w:r>
        <w:rPr>
          <w:b/>
          <w:bCs/>
          <w:sz w:val="20"/>
          <w:szCs w:val="20"/>
        </w:rPr>
        <w:t xml:space="preserve">Configuration sécurisée par défaut — </w:t>
      </w:r>
      <w:r>
        <w:rPr>
          <w:i/>
          <w:iCs/>
          <w:sz w:val="20"/>
          <w:szCs w:val="20"/>
        </w:rPr>
        <w:t xml:space="preserve">Couvert</w:t>
      </w:r>
    </w:p>
    <w:p>
      <w:pPr>
        <w:pBdr>
          <w:left w:val="single" w:color="0F766E" w:sz="24"/>
        </w:pBdr>
        <w:spacing w:after="40"/>
        <w:ind w:left="200"/>
      </w:pPr>
      <w:r>
        <w:rPr>
          <w:sz w:val="20"/>
          <w:szCs w:val="20"/>
        </w:rPr>
        <w:t xml:space="preserve">RLS Supabase : écriture publique seule, aucune lecture/modification possible par défaut.</w:t>
      </w:r>
    </w:p>
    <w:p>
      <w:pPr>
        <w:spacing w:after="120"/>
      </w:pPr>
    </w:p>
    <w:p>
      <w:pPr>
        <w:pBdr>
          <w:left w:val="single" w:color="0F766E" w:sz="24"/>
        </w:pBdr>
        <w:spacing w:after="40"/>
        <w:ind w:left="200"/>
      </w:pPr>
      <w:r>
        <w:rPr>
          <w:b/>
          <w:bCs/>
          <w:color w:val="0F766E"/>
          <w:sz w:val="20"/>
          <w:szCs w:val="20"/>
        </w:rPr>
        <w:t xml:space="preserve">(c) </w:t>
      </w:r>
      <w:r>
        <w:rPr>
          <w:b/>
          <w:bCs/>
          <w:sz w:val="20"/>
          <w:szCs w:val="20"/>
        </w:rPr>
        <w:t xml:space="preserve">Mises à jour de sécurité — </w:t>
      </w:r>
      <w:r>
        <w:rPr>
          <w:i/>
          <w:iCs/>
          <w:sz w:val="20"/>
          <w:szCs w:val="20"/>
        </w:rPr>
        <w:t xml:space="preserve">Couvert</w:t>
      </w:r>
    </w:p>
    <w:p>
      <w:pPr>
        <w:pBdr>
          <w:left w:val="single" w:color="0F766E" w:sz="24"/>
        </w:pBdr>
        <w:spacing w:after="40"/>
        <w:ind w:left="200"/>
      </w:pPr>
      <w:r>
        <w:rPr>
          <w:sz w:val="20"/>
          <w:szCs w:val="20"/>
        </w:rPr>
        <w:t xml:space="preserve">SaaS pur, déploiement continu via Vercel/GitHub, aucune action requise côté utilisateur.</w:t>
      </w:r>
    </w:p>
    <w:p>
      <w:pPr>
        <w:spacing w:after="120"/>
      </w:pPr>
    </w:p>
    <w:p>
      <w:pPr>
        <w:pBdr>
          <w:left w:val="single" w:color="0F766E" w:sz="24"/>
        </w:pBdr>
        <w:spacing w:after="40"/>
        <w:ind w:left="200"/>
      </w:pPr>
      <w:r>
        <w:rPr>
          <w:b/>
          <w:bCs/>
          <w:color w:val="0F766E"/>
          <w:sz w:val="20"/>
          <w:szCs w:val="20"/>
        </w:rPr>
        <w:t xml:space="preserve">(d) </w:t>
      </w:r>
      <w:r>
        <w:rPr>
          <w:b/>
          <w:bCs/>
          <w:sz w:val="20"/>
          <w:szCs w:val="20"/>
        </w:rPr>
        <w:t xml:space="preserve">Contrôle d'accès — </w:t>
      </w:r>
      <w:r>
        <w:rPr>
          <w:i/>
          <w:iCs/>
          <w:sz w:val="20"/>
          <w:szCs w:val="20"/>
        </w:rPr>
        <w:t xml:space="preserve">Couvert</w:t>
      </w:r>
    </w:p>
    <w:p>
      <w:pPr>
        <w:pBdr>
          <w:left w:val="single" w:color="0F766E" w:sz="24"/>
        </w:pBdr>
        <w:spacing w:after="40"/>
        <w:ind w:left="200"/>
      </w:pPr>
      <w:r>
        <w:rPr>
          <w:sz w:val="20"/>
          <w:szCs w:val="20"/>
        </w:rPr>
        <w:t xml:space="preserve">Pas de compte utilisateur exposé ; données consultables uniquement via le dashboard Supabase, protégé par authentification.</w:t>
      </w:r>
    </w:p>
    <w:p>
      <w:pPr>
        <w:spacing w:after="120"/>
      </w:pPr>
    </w:p>
    <w:p>
      <w:pPr>
        <w:pBdr>
          <w:left w:val="single" w:color="0F766E" w:sz="24"/>
        </w:pBdr>
        <w:spacing w:after="40"/>
        <w:ind w:left="200"/>
      </w:pPr>
      <w:r>
        <w:rPr>
          <w:b/>
          <w:bCs/>
          <w:color w:val="0F766E"/>
          <w:sz w:val="20"/>
          <w:szCs w:val="20"/>
        </w:rPr>
        <w:t xml:space="preserve">(e) </w:t>
      </w:r>
      <w:r>
        <w:rPr>
          <w:b/>
          <w:bCs/>
          <w:sz w:val="20"/>
          <w:szCs w:val="20"/>
        </w:rPr>
        <w:t xml:space="preserve">Confidentialité — </w:t>
      </w:r>
      <w:r>
        <w:rPr>
          <w:i/>
          <w:iCs/>
          <w:sz w:val="20"/>
          <w:szCs w:val="20"/>
        </w:rPr>
        <w:t xml:space="preserve">Couvert</w:t>
      </w:r>
    </w:p>
    <w:p>
      <w:pPr>
        <w:pBdr>
          <w:left w:val="single" w:color="0F766E" w:sz="24"/>
        </w:pBdr>
        <w:spacing w:after="40"/>
        <w:ind w:left="200"/>
      </w:pPr>
      <w:r>
        <w:rPr>
          <w:sz w:val="20"/>
          <w:szCs w:val="20"/>
        </w:rPr>
        <w:t xml:space="preserve">HTTPS (Vercel) + chiffrement au repos (Supabase).</w:t>
      </w:r>
    </w:p>
    <w:p>
      <w:pPr>
        <w:spacing w:after="120"/>
      </w:pPr>
    </w:p>
    <w:p>
      <w:pPr>
        <w:pBdr>
          <w:left w:val="single" w:color="0F766E" w:sz="24"/>
        </w:pBdr>
        <w:spacing w:after="40"/>
        <w:ind w:left="200"/>
      </w:pPr>
      <w:r>
        <w:rPr>
          <w:b/>
          <w:bCs/>
          <w:color w:val="0F766E"/>
          <w:sz w:val="20"/>
          <w:szCs w:val="20"/>
        </w:rPr>
        <w:t xml:space="preserve">(f) </w:t>
      </w:r>
      <w:r>
        <w:rPr>
          <w:b/>
          <w:bCs/>
          <w:sz w:val="20"/>
          <w:szCs w:val="20"/>
        </w:rPr>
        <w:t xml:space="preserve">Intégrité — </w:t>
      </w:r>
      <w:r>
        <w:rPr>
          <w:i/>
          <w:iCs/>
          <w:sz w:val="20"/>
          <w:szCs w:val="20"/>
        </w:rPr>
        <w:t xml:space="preserve">Couvert</w:t>
      </w:r>
    </w:p>
    <w:p>
      <w:pPr>
        <w:pBdr>
          <w:left w:val="single" w:color="0F766E" w:sz="24"/>
        </w:pBdr>
        <w:spacing w:after="40"/>
        <w:ind w:left="200"/>
      </w:pPr>
      <w:r>
        <w:rPr>
          <w:sz w:val="20"/>
          <w:szCs w:val="20"/>
        </w:rPr>
        <w:t xml:space="preserve">RLS interdit par défaut toute modification/suppression par la clé publique.</w:t>
      </w:r>
    </w:p>
    <w:p>
      <w:pPr>
        <w:spacing w:after="120"/>
      </w:pPr>
    </w:p>
    <w:p>
      <w:pPr>
        <w:pBdr>
          <w:left w:val="single" w:color="0F766E" w:sz="24"/>
        </w:pBdr>
        <w:spacing w:after="40"/>
        <w:ind w:left="200"/>
      </w:pPr>
      <w:r>
        <w:rPr>
          <w:b/>
          <w:bCs/>
          <w:color w:val="0F766E"/>
          <w:sz w:val="20"/>
          <w:szCs w:val="20"/>
        </w:rPr>
        <w:t xml:space="preserve">(g) </w:t>
      </w:r>
      <w:r>
        <w:rPr>
          <w:b/>
          <w:bCs/>
          <w:sz w:val="20"/>
          <w:szCs w:val="20"/>
        </w:rPr>
        <w:t xml:space="preserve">Minimisation — </w:t>
      </w:r>
      <w:r>
        <w:rPr>
          <w:i/>
          <w:iCs/>
          <w:sz w:val="20"/>
          <w:szCs w:val="20"/>
        </w:rPr>
        <w:t xml:space="preserve">Couvert</w:t>
      </w:r>
    </w:p>
    <w:p>
      <w:pPr>
        <w:pBdr>
          <w:left w:val="single" w:color="0F766E" w:sz="24"/>
        </w:pBdr>
        <w:spacing w:after="40"/>
        <w:ind w:left="200"/>
      </w:pPr>
      <w:r>
        <w:rPr>
          <w:sz w:val="20"/>
          <w:szCs w:val="20"/>
        </w:rPr>
        <w:t xml:space="preserve">Seuls email + réponses explicites sont collectés.</w:t>
      </w:r>
    </w:p>
    <w:p>
      <w:pPr>
        <w:spacing w:after="120"/>
      </w:pPr>
    </w:p>
    <w:p>
      <w:pPr>
        <w:pBdr>
          <w:left w:val="single" w:color="0F766E" w:sz="24"/>
        </w:pBdr>
        <w:spacing w:after="40"/>
        <w:ind w:left="200"/>
      </w:pPr>
      <w:r>
        <w:rPr>
          <w:b/>
          <w:bCs/>
          <w:color w:val="0F766E"/>
          <w:sz w:val="20"/>
          <w:szCs w:val="20"/>
        </w:rPr>
        <w:t xml:space="preserve">(i) </w:t>
      </w:r>
      <w:r>
        <w:rPr>
          <w:b/>
          <w:bCs/>
          <w:sz w:val="20"/>
          <w:szCs w:val="20"/>
        </w:rPr>
        <w:t xml:space="preserve">Impact sur d'autres systèmes — </w:t>
      </w:r>
      <w:r>
        <w:rPr>
          <w:i/>
          <w:iCs/>
          <w:sz w:val="20"/>
          <w:szCs w:val="20"/>
        </w:rPr>
        <w:t xml:space="preserve">Couvert</w:t>
      </w:r>
    </w:p>
    <w:p>
      <w:pPr>
        <w:pBdr>
          <w:left w:val="single" w:color="0F766E" w:sz="24"/>
        </w:pBdr>
        <w:spacing w:after="40"/>
        <w:ind w:left="200"/>
      </w:pPr>
      <w:r>
        <w:rPr>
          <w:sz w:val="20"/>
          <w:szCs w:val="20"/>
        </w:rPr>
        <w:t xml:space="preserve">Non applicable — application web simple, ne génère pas de trafic vers des tiers.</w:t>
      </w:r>
    </w:p>
    <w:p>
      <w:pPr>
        <w:spacing w:after="120"/>
      </w:pPr>
    </w:p>
    <w:p>
      <w:pPr>
        <w:pBdr>
          <w:left w:val="single" w:color="0F766E" w:sz="24"/>
        </w:pBdr>
        <w:spacing w:after="40"/>
        <w:ind w:left="200"/>
      </w:pPr>
      <w:r>
        <w:rPr>
          <w:b/>
          <w:bCs/>
          <w:color w:val="0F766E"/>
          <w:sz w:val="20"/>
          <w:szCs w:val="20"/>
        </w:rPr>
        <w:t xml:space="preserve">(k) </w:t>
      </w:r>
      <w:r>
        <w:rPr>
          <w:b/>
          <w:bCs/>
          <w:sz w:val="20"/>
          <w:szCs w:val="20"/>
        </w:rPr>
        <w:t xml:space="preserve">Limitation de l'exploitation — </w:t>
      </w:r>
      <w:r>
        <w:rPr>
          <w:i/>
          <w:iCs/>
          <w:sz w:val="20"/>
          <w:szCs w:val="20"/>
        </w:rPr>
        <w:t xml:space="preserve">Couvert</w:t>
      </w:r>
    </w:p>
    <w:p>
      <w:pPr>
        <w:pBdr>
          <w:left w:val="single" w:color="0F766E" w:sz="24"/>
        </w:pBdr>
        <w:spacing w:after="40"/>
        <w:ind w:left="200"/>
      </w:pPr>
      <w:r>
        <w:rPr>
          <w:sz w:val="20"/>
          <w:szCs w:val="20"/>
        </w:rPr>
        <w:t xml:space="preserve">La clé publique ne peut qu'insérer — un vol de clé ne permet ni lecture ni modification des données existantes.</w:t>
      </w:r>
    </w:p>
    <w:p>
      <w:pPr>
        <w:spacing w:after="120"/>
      </w:pPr>
    </w:p>
    <w:p>
      <w:pPr>
        <w:pBdr>
          <w:left w:val="single" w:color="0F766E" w:sz="24"/>
        </w:pBdr>
        <w:spacing w:after="40"/>
        <w:ind w:left="200"/>
      </w:pPr>
      <w:r>
        <w:rPr>
          <w:b/>
          <w:bCs/>
          <w:color w:val="0F766E"/>
          <w:sz w:val="20"/>
          <w:szCs w:val="20"/>
        </w:rPr>
        <w:t xml:space="preserve">(l) </w:t>
      </w:r>
      <w:r>
        <w:rPr>
          <w:b/>
          <w:bCs/>
          <w:sz w:val="20"/>
          <w:szCs w:val="20"/>
        </w:rPr>
        <w:t xml:space="preserve">Journalisation — </w:t>
      </w:r>
      <w:r>
        <w:rPr>
          <w:i/>
          <w:iCs/>
          <w:sz w:val="20"/>
          <w:szCs w:val="20"/>
        </w:rPr>
        <w:t xml:space="preserve">Couvert</w:t>
      </w:r>
    </w:p>
    <w:p>
      <w:pPr>
        <w:pBdr>
          <w:left w:val="single" w:color="0F766E" w:sz="24"/>
        </w:pBdr>
        <w:spacing w:after="40"/>
        <w:ind w:left="200"/>
      </w:pPr>
      <w:r>
        <w:rPr>
          <w:sz w:val="20"/>
          <w:szCs w:val="20"/>
        </w:rPr>
        <w:t xml:space="preserve">Logs Vercel (requêtes) + Supabase (accès base).</w:t>
      </w:r>
    </w:p>
    <w:p>
      <w:pPr>
        <w:spacing w:after="120"/>
      </w:pPr>
    </w:p>
    <w:p>
      <w:pPr>
        <w:pBdr>
          <w:left w:val="single" w:color="0F766E" w:sz="24"/>
        </w:pBdr>
        <w:spacing w:after="40"/>
        <w:ind w:left="200"/>
      </w:pPr>
      <w:r>
        <w:rPr>
          <w:b/>
          <w:bCs/>
          <w:color w:val="0F766E"/>
          <w:sz w:val="20"/>
          <w:szCs w:val="20"/>
        </w:rPr>
        <w:t xml:space="preserve">(v2) </w:t>
      </w:r>
      <w:r>
        <w:rPr>
          <w:b/>
          <w:bCs/>
          <w:sz w:val="20"/>
          <w:szCs w:val="20"/>
        </w:rPr>
        <w:t xml:space="preserve">Correction rapide — </w:t>
      </w:r>
      <w:r>
        <w:rPr>
          <w:i/>
          <w:iCs/>
          <w:sz w:val="20"/>
          <w:szCs w:val="20"/>
        </w:rPr>
        <w:t xml:space="preserve">Couvert</w:t>
      </w:r>
    </w:p>
    <w:p>
      <w:pPr>
        <w:pBdr>
          <w:left w:val="single" w:color="0F766E" w:sz="24"/>
        </w:pBdr>
        <w:spacing w:after="40"/>
        <w:ind w:left="200"/>
      </w:pPr>
      <w:r>
        <w:rPr>
          <w:sz w:val="20"/>
          <w:szCs w:val="20"/>
        </w:rPr>
        <w:t xml:space="preserve">Déploiement continu, correctif en production en quelques minutes.</w:t>
      </w:r>
    </w:p>
    <w:p>
      <w:pPr>
        <w:spacing w:after="120"/>
      </w:pPr>
    </w:p>
    <w:p>
      <w:pPr>
        <w:pBdr>
          <w:left w:val="single" w:color="0F766E" w:sz="24"/>
        </w:pBdr>
        <w:spacing w:after="40"/>
        <w:ind w:left="200"/>
      </w:pPr>
      <w:r>
        <w:rPr>
          <w:b/>
          <w:bCs/>
          <w:color w:val="0F766E"/>
          <w:sz w:val="20"/>
          <w:szCs w:val="20"/>
        </w:rPr>
        <w:t xml:space="preserve">(v6) </w:t>
      </w:r>
      <w:r>
        <w:rPr>
          <w:b/>
          <w:bCs/>
          <w:sz w:val="20"/>
          <w:szCs w:val="20"/>
        </w:rPr>
        <w:t xml:space="preserve">Point de contact — </w:t>
      </w:r>
      <w:r>
        <w:rPr>
          <w:i/>
          <w:iCs/>
          <w:sz w:val="20"/>
          <w:szCs w:val="20"/>
        </w:rPr>
        <w:t xml:space="preserve">Couvert</w:t>
      </w:r>
    </w:p>
    <w:p>
      <w:pPr>
        <w:pBdr>
          <w:left w:val="single" w:color="0F766E" w:sz="24"/>
        </w:pBdr>
        <w:spacing w:after="40"/>
        <w:ind w:left="200"/>
      </w:pPr>
      <w:r>
        <w:rPr>
          <w:sz w:val="20"/>
          <w:szCs w:val="20"/>
        </w:rPr>
        <w:t xml:space="preserve">contact@cra-kit.com, actif et surveillé (redirection ImprovMX).</w:t>
      </w:r>
    </w:p>
    <w:p>
      <w:pPr>
        <w:spacing w:after="120"/>
      </w:pPr>
    </w:p>
    <w:p>
      <w:pPr>
        <w:pBdr>
          <w:left w:val="single" w:color="0F766E" w:sz="24"/>
        </w:pBdr>
        <w:spacing w:after="40"/>
        <w:ind w:left="200"/>
      </w:pPr>
      <w:r>
        <w:rPr>
          <w:b/>
          <w:bCs/>
          <w:color w:val="0F766E"/>
          <w:sz w:val="20"/>
          <w:szCs w:val="20"/>
        </w:rPr>
        <w:t xml:space="preserve">(v7) </w:t>
      </w:r>
      <w:r>
        <w:rPr>
          <w:b/>
          <w:bCs/>
          <w:sz w:val="20"/>
          <w:szCs w:val="20"/>
        </w:rPr>
        <w:t xml:space="preserve">Distribution sécurisée — </w:t>
      </w:r>
      <w:r>
        <w:rPr>
          <w:i/>
          <w:iCs/>
          <w:sz w:val="20"/>
          <w:szCs w:val="20"/>
        </w:rPr>
        <w:t xml:space="preserve">Couvert</w:t>
      </w:r>
    </w:p>
    <w:p>
      <w:pPr>
        <w:pBdr>
          <w:left w:val="single" w:color="0F766E" w:sz="24"/>
        </w:pBdr>
        <w:spacing w:after="40"/>
        <w:ind w:left="200"/>
      </w:pPr>
      <w:r>
        <w:rPr>
          <w:sz w:val="20"/>
          <w:szCs w:val="20"/>
        </w:rPr>
        <w:t xml:space="preserve">Pipeline Vercel/GitHub, accès protégé par authentification de compte.</w:t>
      </w:r>
    </w:p>
    <w:p>
      <w:pPr>
        <w:spacing w:after="120"/>
      </w:pPr>
    </w:p>
    <w:p>
      <w:pPr>
        <w:pageBreakBefore/>
      </w:pPr>
      <w:r>
        <w:br/>
        <w:t xml:space="preserve"/>
      </w:r>
    </w:p>
    <w:p>
      <w:pPr>
        <w:pStyle w:val="Heading1"/>
        <w:spacing w:after="150" w:before="300"/>
      </w:pPr>
      <w:r>
        <w:rPr>
          <w:b/>
          <w:bCs/>
          <w:color w:val="0F766E"/>
          <w:sz w:val="32"/>
          <w:szCs w:val="32"/>
        </w:rPr>
        <w:t xml:space="preserve">4. Déclaration UE de conformité</w:t>
      </w:r>
    </w:p>
    <w:p>
      <w:pPr>
        <w:spacing w:after="120"/>
      </w:pPr>
      <w:r>
        <w:rPr>
          <w:i/>
          <w:iCs/>
          <w:color w:val="78716C"/>
          <w:sz w:val="20"/>
          <w:szCs w:val="20"/>
        </w:rPr>
        <w:t xml:space="preserve">Conformément à l'article 28 et à l'Annexe V du règlement (UE) 2024/2847.</w:t>
      </w:r>
    </w:p>
    <w:p>
      <w:pPr>
        <w:pBdr>
          <w:left w:val="single" w:color="B91C1C" w:sz="24"/>
        </w:pBdr>
        <w:shd w:fill="FEF2F2" w:val="clear"/>
        <w:spacing w:after="200" w:before="150"/>
        <w:ind w:left="200"/>
      </w:pPr>
      <w:r>
        <w:rPr>
          <w:b/>
          <w:bCs/>
          <w:color w:val="B91C1C"/>
          <w:sz w:val="20"/>
          <w:szCs w:val="20"/>
        </w:rPr>
        <w:t xml:space="preserve">BROUILLON — NON VALIDE EN L'ÉTAT. 8 points de la section 3 restent à traiter avant qu'une déclaration puisse être signée. Voir art. 6 et 13§21.</w:t>
      </w:r>
    </w:p>
    <w:p>
      <w:pPr>
        <w:pStyle w:val="Heading2"/>
        <w:spacing w:after="100" w:before="200"/>
      </w:pPr>
      <w:r>
        <w:rPr>
          <w:b/>
          <w:bCs/>
          <w:sz w:val="24"/>
          <w:szCs w:val="24"/>
        </w:rPr>
        <w:t xml:space="preserve">1. Produit</w:t>
      </w:r>
    </w:p>
    <w:p>
      <w:pPr>
        <w:spacing w:after="120"/>
      </w:pPr>
      <w:r>
        <w:t xml:space="preserve">CRA Kit — wizard de diagnostic et de qualification au Cyber Resilience Act, application web (SaaS), version 1.0, accessible à https://cra-kit.com/wizard.</w:t>
      </w:r>
    </w:p>
    <w:p>
      <w:pPr>
        <w:pStyle w:val="Heading2"/>
        <w:spacing w:after="100" w:before="200"/>
      </w:pPr>
      <w:r>
        <w:rPr>
          <w:b/>
          <w:bCs/>
          <w:sz w:val="24"/>
          <w:szCs w:val="24"/>
        </w:rPr>
        <w:t xml:space="preserve">2. Fabricant</w:t>
      </w:r>
    </w:p>
    <w:p>
      <w:pPr>
        <w:spacing w:after="120"/>
      </w:pPr>
      <w:r>
        <w:rPr>
          <w:i/>
          <w:iCs/>
          <w:color w:val="78716C"/>
        </w:rPr>
        <w:t xml:space="preserve">[Voir mentions légales de cra-kit.com — non reproduites ici, à compléter par l'éditeur.]</w:t>
      </w:r>
    </w:p>
    <w:p>
      <w:pPr>
        <w:pStyle w:val="Heading2"/>
        <w:spacing w:after="100" w:before="200"/>
      </w:pPr>
      <w:r>
        <w:rPr>
          <w:b/>
          <w:bCs/>
          <w:sz w:val="24"/>
          <w:szCs w:val="24"/>
        </w:rPr>
        <w:t xml:space="preserve">3. Attestation de responsabilité</w:t>
      </w:r>
    </w:p>
    <w:p>
      <w:pPr>
        <w:spacing w:after="120"/>
      </w:pPr>
      <w:r>
        <w:t xml:space="preserve">La présente déclaration de conformité, une fois finalisée, sera établie sous la seule responsabilité du fabricant.</w:t>
      </w:r>
    </w:p>
    <w:p>
      <w:pPr>
        <w:pStyle w:val="Heading2"/>
        <w:spacing w:after="100" w:before="200"/>
      </w:pPr>
      <w:r>
        <w:rPr>
          <w:b/>
          <w:bCs/>
          <w:sz w:val="24"/>
          <w:szCs w:val="24"/>
        </w:rPr>
        <w:t xml:space="preserve">4. Objet de la déclaration</w:t>
      </w:r>
    </w:p>
    <w:p>
      <w:pPr>
        <w:spacing w:after="120"/>
      </w:pPr>
      <w:r>
        <w:t xml:space="preserve">Application web accessible à l'adresse https://cra-kit.com/wizard, permettant la qualification et l'évaluation de conformité au Cyber Resilience Act pour des produits logiciels tiers.</w:t>
      </w:r>
    </w:p>
    <w:p>
      <w:pPr>
        <w:pStyle w:val="Heading2"/>
        <w:spacing w:after="100" w:before="200"/>
      </w:pPr>
      <w:r>
        <w:rPr>
          <w:b/>
          <w:bCs/>
          <w:sz w:val="24"/>
          <w:szCs w:val="24"/>
        </w:rPr>
        <w:t xml:space="preserve">5. Conformité</w:t>
      </w:r>
    </w:p>
    <w:p>
      <w:pPr>
        <w:pBdr>
          <w:left w:val="single" w:color="B91C1C" w:sz="24"/>
        </w:pBdr>
        <w:shd w:fill="FEF2F2" w:val="clear"/>
        <w:spacing w:after="200" w:before="150"/>
        <w:ind w:left="200"/>
      </w:pPr>
      <w:r>
        <w:rPr>
          <w:b/>
          <w:bCs/>
          <w:color w:val="B91C1C"/>
          <w:sz w:val="20"/>
          <w:szCs w:val="20"/>
        </w:rPr>
        <w:t xml:space="preserve">Non conforme en l'état — 8 exigences de l'Annexe I restent non couvertes ou incertaines à ce jour (voir section 3).</w:t>
      </w:r>
    </w:p>
    <w:p>
      <w:pPr>
        <w:pStyle w:val="Heading2"/>
        <w:spacing w:after="100" w:before="200"/>
      </w:pPr>
      <w:r>
        <w:rPr>
          <w:b/>
          <w:bCs/>
          <w:sz w:val="24"/>
          <w:szCs w:val="24"/>
        </w:rPr>
        <w:t xml:space="preserve">6. Normes et spécifications appliquées</w:t>
      </w:r>
    </w:p>
    <w:p>
      <w:pPr>
        <w:spacing w:after="120"/>
      </w:pPr>
      <w:r>
        <w:t xml:space="preserve">Aucune norme harmonisée disponible à ce jour (2026) pour cette catégorie de produit par défaut. Conformité démontrée par évaluation des risques et documentation technique (section 3 du présent dossier).</w:t>
      </w:r>
    </w:p>
    <w:p>
      <w:pPr>
        <w:pStyle w:val="Heading2"/>
        <w:spacing w:after="100" w:before="200"/>
      </w:pPr>
      <w:r>
        <w:rPr>
          <w:b/>
          <w:bCs/>
          <w:sz w:val="24"/>
          <w:szCs w:val="24"/>
        </w:rPr>
        <w:t xml:space="preserve">7. Organisme notifié</w:t>
      </w:r>
    </w:p>
    <w:p>
      <w:pPr>
        <w:spacing w:after="120"/>
      </w:pPr>
      <w:r>
        <w:t xml:space="preserve">Sans objet — évaluation de la conformité par contrôle interne (module A), produit par défaut, aucun organisme tiers requis.</w:t>
      </w:r>
    </w:p>
    <w:p>
      <w:pPr>
        <w:pStyle w:val="Heading2"/>
        <w:spacing w:after="100" w:before="200"/>
      </w:pPr>
      <w:r>
        <w:rPr>
          <w:b/>
          <w:bCs/>
          <w:sz w:val="24"/>
          <w:szCs w:val="24"/>
        </w:rPr>
        <w:t xml:space="preserve">8. Informations complémentaires</w:t>
      </w:r>
    </w:p>
    <w:p>
      <w:pPr>
        <w:spacing w:after="120"/>
      </w:pPr>
      <w:r>
        <w:t xml:space="preserve">Dossier généré à partir du diagnostic CRA Kit (cra-kit.com/wizard).</w:t>
      </w:r>
    </w:p>
    <w:p>
      <w:pPr>
        <w:spacing w:after="100" w:before="300"/>
      </w:pPr>
      <w:r>
        <w:rPr>
          <w:b/>
          <w:bCs/>
        </w:rPr>
        <w:t xml:space="preserve">Signé par et au nom de :</w:t>
      </w:r>
    </w:p>
    <w:p>
      <w:pPr>
        <w:pBdr>
          <w:left w:val="single" w:color="B91C1C" w:sz="24"/>
        </w:pBdr>
        <w:shd w:fill="FEF2F2" w:val="clear"/>
        <w:spacing w:after="200" w:before="150"/>
        <w:ind w:left="200"/>
      </w:pPr>
      <w:r>
        <w:rPr>
          <w:b/>
          <w:bCs/>
          <w:color w:val="B91C1C"/>
          <w:sz w:val="20"/>
          <w:szCs w:val="20"/>
        </w:rPr>
        <w:t xml:space="preserve">NON SIGNÉE — signature à apposer uniquement une fois les 8 points de la section 3 résolus ou justifiés comme non applicables.</w:t>
      </w:r>
    </w:p>
    <w:p>
      <w:pPr>
        <w:pageBreakBefore/>
      </w:pPr>
      <w:r>
        <w:br/>
        <w:t xml:space="preserve"/>
      </w:r>
    </w:p>
    <w:p>
      <w:pPr>
        <w:pStyle w:val="Heading1"/>
        <w:spacing w:after="150" w:before="300"/>
      </w:pPr>
      <w:r>
        <w:rPr>
          <w:b/>
          <w:bCs/>
          <w:color w:val="0F766E"/>
          <w:sz w:val="32"/>
          <w:szCs w:val="32"/>
        </w:rPr>
        <w:t xml:space="preserve">5. Politique de divulgation coordonnée des vulnérabilités</w:t>
      </w:r>
    </w:p>
    <w:p>
      <w:pPr>
        <w:spacing w:after="120"/>
      </w:pPr>
      <w:r>
        <w:rPr>
          <w:i/>
          <w:iCs/>
          <w:color w:val="78716C"/>
          <w:sz w:val="20"/>
          <w:szCs w:val="20"/>
        </w:rPr>
        <w:t xml:space="preserve">Conformément à l'Annexe I, partie II, point 5 du règlement (UE) 2024/2847.</w:t>
      </w:r>
    </w:p>
    <w:p>
      <w:pPr>
        <w:spacing w:after="120"/>
      </w:pPr>
      <w:r>
        <w:rPr>
          <w:i/>
          <w:iCs/>
          <w:color w:val="78716C"/>
          <w:sz w:val="20"/>
          <w:szCs w:val="20"/>
        </w:rPr>
        <w:t xml:space="preserve">Destinée à publication sur cra-kit.com/securite.</w:t>
      </w:r>
    </w:p>
    <w:p>
      <w:pPr>
        <w:pStyle w:val="Heading2"/>
        <w:spacing w:after="100" w:before="200"/>
      </w:pPr>
      <w:r>
        <w:rPr>
          <w:b/>
          <w:bCs/>
          <w:sz w:val="24"/>
          <w:szCs w:val="24"/>
        </w:rPr>
        <w:t xml:space="preserve">Signaler une vulnérabilité</w:t>
      </w:r>
    </w:p>
    <w:p>
      <w:pPr>
        <w:spacing w:after="120"/>
      </w:pPr>
      <w:r>
        <w:t xml:space="preserve">CRA Kit prend la sécurité au sérieux. Si vous pensez avoir découvert une vulnérabilité de sécurité sur cra-kit.com, merci de nous la signaler de façon responsable.</w:t>
      </w:r>
    </w:p>
    <w:p>
      <w:pPr>
        <w:pStyle w:val="Heading2"/>
        <w:spacing w:after="100" w:before="200"/>
      </w:pPr>
      <w:r>
        <w:rPr>
          <w:b/>
          <w:bCs/>
          <w:sz w:val="24"/>
          <w:szCs w:val="24"/>
        </w:rPr>
        <w:t xml:space="preserve">Comment nous contacter</w:t>
      </w:r>
    </w:p>
    <w:p>
      <w:pPr>
        <w:spacing w:after="120"/>
      </w:pPr>
      <w:r>
        <w:t xml:space="preserve">Adresse dédiée : contact@cra-kit.com</w:t>
      </w:r>
    </w:p>
    <w:p>
      <w:pPr>
        <w:pStyle w:val="Heading2"/>
        <w:spacing w:after="100" w:before="200"/>
      </w:pPr>
      <w:r>
        <w:rPr>
          <w:b/>
          <w:bCs/>
          <w:sz w:val="24"/>
          <w:szCs w:val="24"/>
        </w:rPr>
        <w:t xml:space="preserve">Ce que nous demandons</w:t>
      </w:r>
    </w:p>
    <w:p>
      <w:pPr>
        <w:spacing w:after="100"/>
      </w:pPr>
      <w:r>
        <w:rPr>
          <w:sz w:val="22"/>
          <w:szCs w:val="22"/>
        </w:rPr>
        <w:t xml:space="preserve">• Ne pas divulguer publiquement la vulnérabilité avant que nous ayons eu l'occasion d'y remédier.</w:t>
      </w:r>
    </w:p>
    <w:p>
      <w:pPr>
        <w:spacing w:after="100"/>
      </w:pPr>
      <w:r>
        <w:rPr>
          <w:sz w:val="22"/>
          <w:szCs w:val="22"/>
        </w:rPr>
        <w:t xml:space="preserve">• Nous fournir suffisamment d'informations pour reproduire et comprendre le problème.</w:t>
      </w:r>
    </w:p>
    <w:p>
      <w:pPr>
        <w:spacing w:after="100"/>
      </w:pPr>
      <w:r>
        <w:rPr>
          <w:sz w:val="22"/>
          <w:szCs w:val="22"/>
        </w:rPr>
        <w:t xml:space="preserve">• Agir de bonne foi, sans exploiter la vulnérabilité au-delà de ce qui est nécessaire pour la démontrer.</w:t>
      </w:r>
    </w:p>
    <w:p>
      <w:pPr>
        <w:pStyle w:val="Heading2"/>
        <w:spacing w:after="100" w:before="200"/>
      </w:pPr>
      <w:r>
        <w:rPr>
          <w:b/>
          <w:bCs/>
          <w:sz w:val="24"/>
          <w:szCs w:val="24"/>
        </w:rPr>
        <w:t xml:space="preserve">Notre engagement</w:t>
      </w:r>
    </w:p>
    <w:p>
      <w:pPr>
        <w:spacing w:after="100"/>
      </w:pPr>
      <w:r>
        <w:rPr>
          <w:sz w:val="22"/>
          <w:szCs w:val="22"/>
        </w:rPr>
        <w:t xml:space="preserve">• Accusé de réception sous 5 jours ouvrés.</w:t>
      </w:r>
    </w:p>
    <w:p>
      <w:pPr>
        <w:spacing w:after="100"/>
      </w:pPr>
      <w:r>
        <w:rPr>
          <w:sz w:val="22"/>
          <w:szCs w:val="22"/>
        </w:rPr>
        <w:t xml:space="preserve">• Évaluation et plan de correction communiqué sous 30 jours.</w:t>
      </w:r>
    </w:p>
    <w:p>
      <w:pPr>
        <w:spacing w:after="100"/>
      </w:pPr>
      <w:r>
        <w:rPr>
          <w:sz w:val="22"/>
          <w:szCs w:val="22"/>
        </w:rPr>
        <w:t xml:space="preserve">• Aucune poursuite engagée contre un chercheur de bonne foi respectant cette politique.</w:t>
      </w:r>
    </w:p>
    <w:p>
      <w:pPr>
        <w:pStyle w:val="Heading2"/>
        <w:spacing w:after="100" w:before="200"/>
      </w:pPr>
      <w:r>
        <w:rPr>
          <w:b/>
          <w:bCs/>
          <w:sz w:val="24"/>
          <w:szCs w:val="24"/>
        </w:rPr>
        <w:t xml:space="preserve">Délai de divulgation coordonnée</w:t>
      </w:r>
    </w:p>
    <w:p>
      <w:pPr>
        <w:spacing w:after="120"/>
      </w:pPr>
      <w:r>
        <w:t xml:space="preserve">Nous nous engageons à corriger la vulnérabilité signalée, ou à convenir d'un calendrier avec vous, dans un délai de 90 jours avant toute divulgation publique.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2026-09-06T10:50:39.419Z</dcterms:created>
  <dcterms:modified xsi:type="dcterms:W3CDTF">2026-09-06T10:50:39.432Z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